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9361" w14:textId="77777777" w:rsidR="00687FD0" w:rsidRPr="004C7257" w:rsidRDefault="00687FD0" w:rsidP="00687FD0">
      <w:pPr>
        <w:pStyle w:val="Title"/>
        <w:rPr>
          <w:rFonts w:eastAsia="Times New Roman"/>
          <w:kern w:val="36"/>
          <w:lang w:val="en-US"/>
        </w:rPr>
      </w:pPr>
      <w:r>
        <w:rPr>
          <w:rFonts w:eastAsia="Times New Roman"/>
          <w:kern w:val="36"/>
          <w:lang w:val="en-US"/>
        </w:rPr>
        <w:t>Research Grant Award</w:t>
      </w:r>
    </w:p>
    <w:p w14:paraId="28E5EB6C" w14:textId="77777777" w:rsidR="00687FD0" w:rsidRPr="00716DD2" w:rsidRDefault="00000000" w:rsidP="00687FD0">
      <w:pPr>
        <w:pStyle w:val="Heading2"/>
      </w:pPr>
      <w:hyperlink r:id="rId8" w:history="1">
        <w:r w:rsidR="00687FD0" w:rsidRPr="00405AC0">
          <w:rPr>
            <w:rStyle w:val="Hyperlink"/>
          </w:rPr>
          <w:t>www.alia.org.au/awards</w:t>
        </w:r>
      </w:hyperlink>
    </w:p>
    <w:p w14:paraId="17855964" w14:textId="77777777" w:rsidR="00687FD0" w:rsidRPr="00600FB4" w:rsidRDefault="00687FD0" w:rsidP="009F113B">
      <w:pPr>
        <w:pStyle w:val="Heading1"/>
      </w:pPr>
      <w:r w:rsidRPr="00600FB4">
        <w:t>The Award</w:t>
      </w:r>
    </w:p>
    <w:p w14:paraId="6C646D4B" w14:textId="77777777" w:rsidR="00E97BBE" w:rsidRDefault="00E97BBE" w:rsidP="00687FD0">
      <w:pPr>
        <w:rPr>
          <w:szCs w:val="20"/>
        </w:rPr>
      </w:pPr>
      <w:r w:rsidRPr="00E97BBE">
        <w:rPr>
          <w:szCs w:val="20"/>
        </w:rPr>
        <w:t>Every two years, beginning in 2024, funds of up to $10,000 are available to ALIA Members wishing to undertake a research project. This has changed from the annual $5,000, in recognition of the investment of time and resources required for substantial research projects.</w:t>
      </w:r>
    </w:p>
    <w:p w14:paraId="71C30BEB" w14:textId="232C0FBC" w:rsidR="00D60BD9" w:rsidRDefault="00406232" w:rsidP="00687FD0">
      <w:pPr>
        <w:rPr>
          <w:rFonts w:asciiTheme="majorHAnsi" w:hAnsiTheme="majorHAnsi" w:cs="Arial"/>
          <w:i/>
          <w:szCs w:val="20"/>
        </w:rPr>
      </w:pPr>
      <w:r>
        <w:rPr>
          <w:szCs w:val="20"/>
        </w:rPr>
        <w:t>The Research Grant Award is open</w:t>
      </w:r>
      <w:r w:rsidR="00687FD0" w:rsidRPr="00082078">
        <w:rPr>
          <w:szCs w:val="20"/>
        </w:rPr>
        <w:t xml:space="preserve"> to</w:t>
      </w:r>
      <w:r w:rsidR="00687FD0" w:rsidRPr="003F343D">
        <w:rPr>
          <w:szCs w:val="20"/>
        </w:rPr>
        <w:t xml:space="preserve"> library practitioners and early career LIS researchers</w:t>
      </w:r>
      <w:r w:rsidR="00BF71FC">
        <w:rPr>
          <w:rStyle w:val="FootnoteReference"/>
          <w:szCs w:val="20"/>
        </w:rPr>
        <w:footnoteReference w:id="1"/>
      </w:r>
      <w:r w:rsidR="00A43CE4">
        <w:rPr>
          <w:szCs w:val="20"/>
        </w:rPr>
        <w:t xml:space="preserve"> who are M</w:t>
      </w:r>
      <w:r w:rsidR="00687FD0" w:rsidRPr="003F343D">
        <w:rPr>
          <w:szCs w:val="20"/>
        </w:rPr>
        <w:t xml:space="preserve">embers of ALIA.  The review committee </w:t>
      </w:r>
      <w:r w:rsidR="00687FD0" w:rsidRPr="00D60BD9">
        <w:rPr>
          <w:rFonts w:asciiTheme="majorHAnsi" w:hAnsiTheme="majorHAnsi"/>
          <w:szCs w:val="20"/>
        </w:rPr>
        <w:t>encourages projects from practitioners or that involve both a practitioner and a researcher</w:t>
      </w:r>
      <w:r w:rsidR="00D60BD9">
        <w:rPr>
          <w:rStyle w:val="FootnoteReference"/>
          <w:rFonts w:asciiTheme="majorHAnsi" w:hAnsiTheme="majorHAnsi"/>
          <w:szCs w:val="20"/>
        </w:rPr>
        <w:footnoteReference w:id="2"/>
      </w:r>
      <w:r w:rsidR="00687FD0" w:rsidRPr="00D60BD9">
        <w:rPr>
          <w:rFonts w:asciiTheme="majorHAnsi" w:hAnsiTheme="majorHAnsi"/>
          <w:szCs w:val="20"/>
        </w:rPr>
        <w:t>.</w:t>
      </w:r>
      <w:r w:rsidR="00D60BD9" w:rsidRPr="00D60BD9">
        <w:rPr>
          <w:rFonts w:asciiTheme="majorHAnsi" w:hAnsiTheme="majorHAnsi"/>
          <w:szCs w:val="20"/>
        </w:rPr>
        <w:t xml:space="preserve"> </w:t>
      </w:r>
    </w:p>
    <w:p w14:paraId="62AD3838" w14:textId="77777777" w:rsidR="00687FD0" w:rsidRDefault="00687FD0" w:rsidP="00687FD0">
      <w:pPr>
        <w:rPr>
          <w:szCs w:val="20"/>
        </w:rPr>
      </w:pPr>
      <w:r w:rsidRPr="00082078">
        <w:rPr>
          <w:szCs w:val="20"/>
        </w:rPr>
        <w:t>The purpose of the award is to enabl</w:t>
      </w:r>
      <w:r>
        <w:rPr>
          <w:szCs w:val="20"/>
        </w:rPr>
        <w:t>e the recipient to undertake a research</w:t>
      </w:r>
      <w:r w:rsidRPr="00082078">
        <w:rPr>
          <w:szCs w:val="20"/>
        </w:rPr>
        <w:t xml:space="preserve"> program on a selected library or information issue of present and future relevance to the development and improvement of library and information services in Australia. The </w:t>
      </w:r>
      <w:r w:rsidR="00D3096F">
        <w:rPr>
          <w:szCs w:val="20"/>
        </w:rPr>
        <w:t>research</w:t>
      </w:r>
      <w:r w:rsidRPr="00082078">
        <w:rPr>
          <w:szCs w:val="20"/>
        </w:rPr>
        <w:t xml:space="preserve"> may include preliminary work, local or overseas visits and/or consultations, attachment to another organisation, preparation of a publication, etc. It is expected that the </w:t>
      </w:r>
      <w:r w:rsidR="00D3096F">
        <w:rPr>
          <w:szCs w:val="20"/>
        </w:rPr>
        <w:t>research</w:t>
      </w:r>
      <w:r w:rsidRPr="00082078">
        <w:rPr>
          <w:szCs w:val="20"/>
        </w:rPr>
        <w:t xml:space="preserve"> project will provide an opportunity for self development as well as benefit the recipient’s institution and present position.</w:t>
      </w:r>
    </w:p>
    <w:p w14:paraId="2A52B44E" w14:textId="77777777" w:rsidR="00687FD0" w:rsidRPr="00082078" w:rsidRDefault="00687FD0" w:rsidP="00687FD0">
      <w:pPr>
        <w:rPr>
          <w:szCs w:val="20"/>
        </w:rPr>
      </w:pPr>
      <w:r w:rsidRPr="00082078">
        <w:rPr>
          <w:szCs w:val="20"/>
        </w:rPr>
        <w:t xml:space="preserve">Award recipients will be required to: </w:t>
      </w:r>
    </w:p>
    <w:p w14:paraId="41DBE6C2" w14:textId="77777777" w:rsidR="00687FD0" w:rsidRPr="009F113B" w:rsidRDefault="00687FD0" w:rsidP="009F113B">
      <w:pPr>
        <w:pStyle w:val="ListParagraph"/>
      </w:pPr>
      <w:r w:rsidRPr="009F113B">
        <w:t>Provide quarterly reports to the ALIA Research Advisory Committee detailing work undertaken, milestones met and reconciliation of expenses.</w:t>
      </w:r>
    </w:p>
    <w:p w14:paraId="2C3072D3" w14:textId="77777777" w:rsidR="00687FD0" w:rsidRPr="009F113B" w:rsidRDefault="00687FD0" w:rsidP="009F113B">
      <w:pPr>
        <w:pStyle w:val="ListParagraph"/>
      </w:pPr>
      <w:r w:rsidRPr="009F113B">
        <w:t>Submit the final report to the ALIA Research Advisory Committee within four months of the completion date of the research project. If this deadline cannot be met the recipient will advise the ALIA Research Committee within three months</w:t>
      </w:r>
      <w:r w:rsidR="00D3096F">
        <w:t xml:space="preserve"> of the completion date</w:t>
      </w:r>
      <w:r w:rsidRPr="009F113B">
        <w:t xml:space="preserve">, of the reasons for the delay and </w:t>
      </w:r>
      <w:r w:rsidR="00D3096F">
        <w:t>propose an alternative</w:t>
      </w:r>
      <w:r w:rsidRPr="009F113B">
        <w:t xml:space="preserve"> submission date </w:t>
      </w:r>
      <w:r w:rsidR="00D3096F">
        <w:t>for</w:t>
      </w:r>
      <w:r w:rsidRPr="009F113B">
        <w:t xml:space="preserve"> the report.</w:t>
      </w:r>
    </w:p>
    <w:p w14:paraId="59B1D407" w14:textId="77777777" w:rsidR="00687FD0" w:rsidRPr="009F113B" w:rsidRDefault="00687FD0" w:rsidP="00D3096F">
      <w:pPr>
        <w:pStyle w:val="ListParagraph"/>
      </w:pPr>
      <w:r w:rsidRPr="009F113B">
        <w:t xml:space="preserve">Prepare a scholarly report which may be published in the </w:t>
      </w:r>
      <w:r w:rsidRPr="00D3096F">
        <w:rPr>
          <w:i/>
        </w:rPr>
        <w:t>Australian Library Journal</w:t>
      </w:r>
      <w:r w:rsidR="00D3096F">
        <w:t xml:space="preserve">, </w:t>
      </w:r>
      <w:r w:rsidR="00D3096F" w:rsidRPr="00D3096F">
        <w:rPr>
          <w:i/>
        </w:rPr>
        <w:t>Australian Academic and Research Libraries</w:t>
      </w:r>
      <w:r w:rsidRPr="009F113B">
        <w:t xml:space="preserve"> or other ALIA publication within six months of the completion date of the research project. The dissemination/publication strategy for the research project should be discussed with the appointed mentor and/or the ALIA Research </w:t>
      </w:r>
      <w:r w:rsidRPr="009F113B">
        <w:lastRenderedPageBreak/>
        <w:t>Advisory Committee. Any publications describing work that has been wholly or partially supported by an ALIA Research Award will make due acknowledgement of such support.</w:t>
      </w:r>
    </w:p>
    <w:p w14:paraId="16200668" w14:textId="77777777" w:rsidR="00687FD0" w:rsidRPr="009F113B" w:rsidRDefault="00687FD0" w:rsidP="009F113B">
      <w:pPr>
        <w:pStyle w:val="ListParagraph"/>
      </w:pPr>
      <w:r w:rsidRPr="009F113B">
        <w:t>Make a presentation on the completed research and outcomes at an appropriate ALIA conference or event and be prepared to assume all costs associated with attendance at such an event.</w:t>
      </w:r>
    </w:p>
    <w:p w14:paraId="65A292E7" w14:textId="77777777" w:rsidR="00687FD0" w:rsidRPr="009F113B" w:rsidRDefault="00687FD0" w:rsidP="009F113B">
      <w:pPr>
        <w:pStyle w:val="ListParagraph"/>
      </w:pPr>
      <w:r w:rsidRPr="009F113B">
        <w:t xml:space="preserve">Provide a follow-up report within </w:t>
      </w:r>
      <w:r w:rsidR="00D3096F">
        <w:t>12</w:t>
      </w:r>
      <w:r w:rsidRPr="009F113B">
        <w:t xml:space="preserve"> months of completion of the project detailing how the outcomes of the project have been applied for the benefit of the individual, institution and the profession.</w:t>
      </w:r>
    </w:p>
    <w:p w14:paraId="28EAA0EE" w14:textId="77777777" w:rsidR="00687FD0" w:rsidRPr="00600FB4" w:rsidRDefault="00687FD0" w:rsidP="00687FD0">
      <w:pPr>
        <w:ind w:left="90"/>
        <w:rPr>
          <w:szCs w:val="20"/>
        </w:rPr>
      </w:pPr>
      <w:r w:rsidRPr="00082078">
        <w:rPr>
          <w:szCs w:val="20"/>
        </w:rPr>
        <w:t>In awarding the research grant, ALIA reserves the rig</w:t>
      </w:r>
      <w:r>
        <w:rPr>
          <w:szCs w:val="20"/>
        </w:rPr>
        <w:t xml:space="preserve">ht to make broad adjustments to </w:t>
      </w:r>
      <w:r w:rsidRPr="00082078">
        <w:rPr>
          <w:szCs w:val="20"/>
        </w:rPr>
        <w:t>the proposed project to ensure optimal relevance for the Association and the wider profession</w:t>
      </w:r>
      <w:r>
        <w:rPr>
          <w:szCs w:val="20"/>
        </w:rPr>
        <w:t>.</w:t>
      </w:r>
      <w:r w:rsidRPr="00B40D27">
        <w:rPr>
          <w:szCs w:val="20"/>
        </w:rPr>
        <w:t xml:space="preserve"> </w:t>
      </w:r>
    </w:p>
    <w:p w14:paraId="4C2C8B59" w14:textId="77777777" w:rsidR="00687FD0" w:rsidRDefault="00687FD0" w:rsidP="009F113B">
      <w:pPr>
        <w:pStyle w:val="Heading1"/>
      </w:pPr>
      <w:r w:rsidRPr="00600FB4">
        <w:t>Who c</w:t>
      </w:r>
      <w:r>
        <w:t xml:space="preserve">an </w:t>
      </w:r>
      <w:r w:rsidRPr="00600FB4">
        <w:t>nominate?</w:t>
      </w:r>
    </w:p>
    <w:p w14:paraId="63EABAB5" w14:textId="7E867044" w:rsidR="00687FD0" w:rsidRPr="00082078" w:rsidRDefault="00687FD0" w:rsidP="00687FD0">
      <w:pPr>
        <w:rPr>
          <w:szCs w:val="20"/>
        </w:rPr>
      </w:pPr>
      <w:r>
        <w:rPr>
          <w:szCs w:val="20"/>
        </w:rPr>
        <w:t>The ALIA Research G</w:t>
      </w:r>
      <w:r w:rsidRPr="00082078">
        <w:rPr>
          <w:szCs w:val="20"/>
        </w:rPr>
        <w:t>rant</w:t>
      </w:r>
      <w:r>
        <w:rPr>
          <w:szCs w:val="20"/>
        </w:rPr>
        <w:t xml:space="preserve"> is</w:t>
      </w:r>
      <w:r w:rsidRPr="00082078">
        <w:rPr>
          <w:szCs w:val="20"/>
        </w:rPr>
        <w:t xml:space="preserve"> open to those who have been financial members for at least two years</w:t>
      </w:r>
      <w:r>
        <w:rPr>
          <w:szCs w:val="20"/>
        </w:rPr>
        <w:t>.</w:t>
      </w:r>
      <w:r w:rsidRPr="00082078">
        <w:rPr>
          <w:szCs w:val="20"/>
        </w:rPr>
        <w:t xml:space="preserve"> This awa</w:t>
      </w:r>
      <w:r>
        <w:rPr>
          <w:szCs w:val="20"/>
        </w:rPr>
        <w:t xml:space="preserve">rd is offered </w:t>
      </w:r>
      <w:r w:rsidR="003C098C">
        <w:rPr>
          <w:szCs w:val="20"/>
        </w:rPr>
        <w:t>bienni</w:t>
      </w:r>
      <w:r w:rsidR="003C098C" w:rsidRPr="00082078">
        <w:rPr>
          <w:szCs w:val="20"/>
        </w:rPr>
        <w:t>ally</w:t>
      </w:r>
      <w:r w:rsidRPr="00082078">
        <w:rPr>
          <w:szCs w:val="20"/>
        </w:rPr>
        <w:t>.</w:t>
      </w:r>
    </w:p>
    <w:p w14:paraId="3F09A8BE" w14:textId="77777777" w:rsidR="00A16E9C" w:rsidRDefault="00A16E9C" w:rsidP="009F113B">
      <w:pPr>
        <w:pStyle w:val="Heading1"/>
      </w:pPr>
      <w:r>
        <w:t>What is the nomination process?</w:t>
      </w:r>
    </w:p>
    <w:p w14:paraId="709B4595" w14:textId="77777777" w:rsidR="00A16E9C" w:rsidRDefault="00A16E9C" w:rsidP="009F113B">
      <w:pPr>
        <w:pStyle w:val="Heading1"/>
        <w:rPr>
          <w:color w:val="auto"/>
          <w:sz w:val="20"/>
          <w:szCs w:val="20"/>
        </w:rPr>
      </w:pPr>
    </w:p>
    <w:p w14:paraId="0FC946B0" w14:textId="77777777" w:rsidR="00A16E9C" w:rsidRDefault="00A16E9C" w:rsidP="009F113B">
      <w:pPr>
        <w:pStyle w:val="Heading1"/>
        <w:rPr>
          <w:color w:val="auto"/>
          <w:sz w:val="20"/>
          <w:szCs w:val="20"/>
        </w:rPr>
      </w:pPr>
      <w:r w:rsidRPr="00A16E9C">
        <w:rPr>
          <w:color w:val="auto"/>
          <w:sz w:val="20"/>
          <w:szCs w:val="20"/>
        </w:rPr>
        <w:t>Applica</w:t>
      </w:r>
      <w:r>
        <w:rPr>
          <w:color w:val="auto"/>
          <w:sz w:val="20"/>
          <w:szCs w:val="20"/>
        </w:rPr>
        <w:t>nt</w:t>
      </w:r>
      <w:r w:rsidRPr="00A16E9C">
        <w:rPr>
          <w:color w:val="auto"/>
          <w:sz w:val="20"/>
          <w:szCs w:val="20"/>
        </w:rPr>
        <w:t>s</w:t>
      </w:r>
      <w:r>
        <w:rPr>
          <w:color w:val="auto"/>
          <w:sz w:val="20"/>
          <w:szCs w:val="20"/>
        </w:rPr>
        <w:t xml:space="preserve"> are required to fill in parts 1 and 2 of the application form. The first part of the selection process is carried out ‘blind’, with the panel shortlisting projects without knowing the identity of the applicant(s). The final decision is based on full disclosure of parts 1 and 2.</w:t>
      </w:r>
    </w:p>
    <w:p w14:paraId="37A99499" w14:textId="797317F7" w:rsidR="00A16E9C" w:rsidRDefault="00614A6C" w:rsidP="00614A6C">
      <w:r w:rsidRPr="00614A6C">
        <w:t>Entries are open from 1 February to 30 June every two years, on the even-numbered year. The assessment process takes approximately eight weeks, with the successful candidate confirmed in September.</w:t>
      </w:r>
    </w:p>
    <w:p w14:paraId="7FB67012" w14:textId="77777777" w:rsidR="00687FD0" w:rsidRPr="00600FB4" w:rsidRDefault="00687FD0" w:rsidP="009F113B">
      <w:pPr>
        <w:pStyle w:val="Heading1"/>
      </w:pPr>
      <w:r w:rsidRPr="00600FB4">
        <w:t xml:space="preserve">Who assesses nominations? </w:t>
      </w:r>
    </w:p>
    <w:p w14:paraId="14F64F1D" w14:textId="77777777" w:rsidR="00687FD0" w:rsidRDefault="00687FD0" w:rsidP="00687FD0">
      <w:pPr>
        <w:rPr>
          <w:szCs w:val="20"/>
        </w:rPr>
      </w:pPr>
      <w:r w:rsidRPr="00082078">
        <w:rPr>
          <w:szCs w:val="20"/>
        </w:rPr>
        <w:t xml:space="preserve">Applications </w:t>
      </w:r>
      <w:r w:rsidR="00A16E9C">
        <w:rPr>
          <w:szCs w:val="20"/>
        </w:rPr>
        <w:t>ar</w:t>
      </w:r>
      <w:r w:rsidRPr="00082078">
        <w:rPr>
          <w:szCs w:val="20"/>
        </w:rPr>
        <w:t xml:space="preserve">e considered by the ALIA Research </w:t>
      </w:r>
      <w:r>
        <w:rPr>
          <w:szCs w:val="20"/>
        </w:rPr>
        <w:t xml:space="preserve">Advisory </w:t>
      </w:r>
      <w:r w:rsidRPr="00082078">
        <w:rPr>
          <w:szCs w:val="20"/>
        </w:rPr>
        <w:t xml:space="preserve">Committee for recommendation to the Board of Directors. </w:t>
      </w:r>
    </w:p>
    <w:p w14:paraId="4845C6A7" w14:textId="77777777" w:rsidR="00687FD0" w:rsidRPr="00600FB4" w:rsidRDefault="00687FD0" w:rsidP="009F113B">
      <w:pPr>
        <w:pStyle w:val="Heading1"/>
      </w:pPr>
      <w:r w:rsidRPr="00600FB4">
        <w:t>Is it necessary to provide referees?</w:t>
      </w:r>
    </w:p>
    <w:p w14:paraId="37E2DA92" w14:textId="77777777" w:rsidR="00687FD0" w:rsidRPr="00DA0385" w:rsidRDefault="00687FD0" w:rsidP="00687FD0">
      <w:pPr>
        <w:rPr>
          <w:szCs w:val="20"/>
        </w:rPr>
      </w:pPr>
      <w:r w:rsidRPr="00DA0385">
        <w:rPr>
          <w:szCs w:val="20"/>
        </w:rPr>
        <w:t>Yes, the names, addresses and contact details of individuals who would be able to comment directly on the nominee’s s</w:t>
      </w:r>
      <w:r>
        <w:rPr>
          <w:szCs w:val="20"/>
        </w:rPr>
        <w:t>ervice to the library and information s</w:t>
      </w:r>
      <w:r w:rsidRPr="00DA0385">
        <w:rPr>
          <w:szCs w:val="20"/>
        </w:rPr>
        <w:t>ector should be included with the nomi</w:t>
      </w:r>
      <w:r w:rsidR="009F113B">
        <w:rPr>
          <w:szCs w:val="20"/>
        </w:rPr>
        <w:t xml:space="preserve">nation. </w:t>
      </w:r>
      <w:r>
        <w:rPr>
          <w:szCs w:val="20"/>
        </w:rPr>
        <w:t>We require at least two referees to accompany the nomination</w:t>
      </w:r>
      <w:r w:rsidRPr="00DA0385">
        <w:rPr>
          <w:szCs w:val="20"/>
        </w:rPr>
        <w:t>.</w:t>
      </w:r>
    </w:p>
    <w:p w14:paraId="14E7EE14" w14:textId="77777777" w:rsidR="00687FD0" w:rsidRPr="00600FB4" w:rsidRDefault="00687FD0" w:rsidP="009F113B">
      <w:pPr>
        <w:pStyle w:val="Heading1"/>
      </w:pPr>
      <w:r w:rsidRPr="00600FB4">
        <w:t>How are recipients told of their award?</w:t>
      </w:r>
    </w:p>
    <w:p w14:paraId="20A54358" w14:textId="77777777" w:rsidR="00687FD0" w:rsidRPr="00C54E9F" w:rsidRDefault="00687FD0" w:rsidP="00687FD0">
      <w:pPr>
        <w:rPr>
          <w:szCs w:val="20"/>
        </w:rPr>
      </w:pPr>
      <w:r w:rsidRPr="00C54E9F">
        <w:rPr>
          <w:szCs w:val="20"/>
        </w:rPr>
        <w:t xml:space="preserve">Recipients are informed of the conferment of an award by </w:t>
      </w:r>
      <w:r w:rsidR="00D3096F">
        <w:rPr>
          <w:szCs w:val="20"/>
        </w:rPr>
        <w:t>email and letter</w:t>
      </w:r>
      <w:r w:rsidRPr="00C54E9F">
        <w:rPr>
          <w:szCs w:val="20"/>
        </w:rPr>
        <w:t>.</w:t>
      </w:r>
    </w:p>
    <w:p w14:paraId="7F1544C8" w14:textId="77777777" w:rsidR="00687FD0" w:rsidRPr="00600FB4" w:rsidRDefault="00687FD0" w:rsidP="009F113B">
      <w:pPr>
        <w:pStyle w:val="Heading1"/>
      </w:pPr>
      <w:r w:rsidRPr="00600FB4">
        <w:lastRenderedPageBreak/>
        <w:t xml:space="preserve">How to lodge a nomination </w:t>
      </w:r>
    </w:p>
    <w:p w14:paraId="6DFCA73D" w14:textId="77777777" w:rsidR="00BF71FC" w:rsidRDefault="00687FD0" w:rsidP="00687FD0">
      <w:pPr>
        <w:rPr>
          <w:szCs w:val="20"/>
        </w:rPr>
      </w:pPr>
      <w:r w:rsidRPr="00600FB4">
        <w:rPr>
          <w:szCs w:val="20"/>
        </w:rPr>
        <w:t xml:space="preserve">Nominations </w:t>
      </w:r>
      <w:r>
        <w:rPr>
          <w:szCs w:val="20"/>
        </w:rPr>
        <w:t>are to be marked confidential.</w:t>
      </w:r>
      <w:r w:rsidR="00D3096F">
        <w:rPr>
          <w:szCs w:val="20"/>
        </w:rPr>
        <w:t xml:space="preserve"> </w:t>
      </w:r>
      <w:r w:rsidRPr="00600FB4">
        <w:rPr>
          <w:szCs w:val="20"/>
        </w:rPr>
        <w:t xml:space="preserve">Nominations maybe lodged by email to: </w:t>
      </w:r>
      <w:hyperlink r:id="rId9" w:history="1">
        <w:r w:rsidRPr="00600FB4">
          <w:rPr>
            <w:rStyle w:val="Hyperlink"/>
          </w:rPr>
          <w:t>awards@alia.org.au</w:t>
        </w:r>
      </w:hyperlink>
      <w:r w:rsidRPr="00600FB4">
        <w:rPr>
          <w:szCs w:val="20"/>
        </w:rPr>
        <w:t xml:space="preserve"> </w:t>
      </w:r>
      <w:r>
        <w:rPr>
          <w:szCs w:val="20"/>
        </w:rPr>
        <w:t xml:space="preserve"> </w:t>
      </w:r>
      <w:r w:rsidRPr="00600FB4">
        <w:rPr>
          <w:szCs w:val="20"/>
        </w:rPr>
        <w:t>Or</w:t>
      </w:r>
      <w:r>
        <w:rPr>
          <w:szCs w:val="20"/>
        </w:rPr>
        <w:t xml:space="preserve"> by p</w:t>
      </w:r>
      <w:r w:rsidRPr="00600FB4">
        <w:rPr>
          <w:szCs w:val="20"/>
        </w:rPr>
        <w:t>ost to:</w:t>
      </w:r>
      <w:r w:rsidR="00EE23AE">
        <w:rPr>
          <w:szCs w:val="20"/>
        </w:rPr>
        <w:t xml:space="preserve"> </w:t>
      </w:r>
      <w:r w:rsidR="009F113B" w:rsidRPr="009F113B">
        <w:rPr>
          <w:szCs w:val="20"/>
          <w:lang w:val="en-US"/>
        </w:rPr>
        <w:t>Chief Executive Officer</w:t>
      </w:r>
      <w:r w:rsidR="00EE23AE">
        <w:rPr>
          <w:szCs w:val="20"/>
        </w:rPr>
        <w:t xml:space="preserve">, </w:t>
      </w:r>
      <w:r w:rsidR="009F113B" w:rsidRPr="009F113B">
        <w:rPr>
          <w:szCs w:val="20"/>
          <w:lang w:val="en-US"/>
        </w:rPr>
        <w:t>Australian Library and Information Association</w:t>
      </w:r>
      <w:r w:rsidR="00EE23AE">
        <w:rPr>
          <w:szCs w:val="20"/>
          <w:lang w:val="en-US"/>
        </w:rPr>
        <w:t xml:space="preserve">, </w:t>
      </w:r>
      <w:r w:rsidR="009F113B" w:rsidRPr="009F113B">
        <w:rPr>
          <w:szCs w:val="20"/>
          <w:lang w:val="en-US"/>
        </w:rPr>
        <w:t>PO Box 6335</w:t>
      </w:r>
      <w:r w:rsidR="00EE23AE">
        <w:rPr>
          <w:szCs w:val="20"/>
          <w:lang w:val="en-US"/>
        </w:rPr>
        <w:t xml:space="preserve">, </w:t>
      </w:r>
      <w:r w:rsidR="009F113B" w:rsidRPr="009F113B">
        <w:rPr>
          <w:szCs w:val="20"/>
          <w:lang w:val="en-US"/>
        </w:rPr>
        <w:t>Kingston ACT 2604</w:t>
      </w:r>
      <w:r w:rsidR="00BF71FC">
        <w:rPr>
          <w:szCs w:val="20"/>
        </w:rPr>
        <w:t>.</w:t>
      </w:r>
    </w:p>
    <w:p w14:paraId="10A8AF4C" w14:textId="77777777" w:rsidR="00687FD0" w:rsidRPr="00600FB4" w:rsidRDefault="00687FD0" w:rsidP="00687FD0">
      <w:pPr>
        <w:rPr>
          <w:szCs w:val="20"/>
        </w:rPr>
      </w:pPr>
      <w:r w:rsidRPr="00600FB4">
        <w:rPr>
          <w:szCs w:val="20"/>
        </w:rPr>
        <w:t>Nominations close 30 June (or the next weekday should 30 June occur on a weekend).</w:t>
      </w:r>
    </w:p>
    <w:p w14:paraId="3259ABE2" w14:textId="77777777" w:rsidR="00687FD0" w:rsidRPr="00600FB4" w:rsidRDefault="00687FD0" w:rsidP="009F113B">
      <w:pPr>
        <w:pStyle w:val="Heading1"/>
      </w:pPr>
      <w:r>
        <w:t>More i</w:t>
      </w:r>
      <w:r w:rsidRPr="00600FB4">
        <w:t>nformation or help</w:t>
      </w:r>
    </w:p>
    <w:p w14:paraId="3523DC90" w14:textId="77777777" w:rsidR="00802CF6" w:rsidRDefault="00687FD0" w:rsidP="00687FD0">
      <w:pPr>
        <w:rPr>
          <w:szCs w:val="20"/>
        </w:rPr>
      </w:pPr>
      <w:r w:rsidRPr="00600FB4">
        <w:rPr>
          <w:szCs w:val="20"/>
        </w:rPr>
        <w:t xml:space="preserve">If you have any further questions please contact </w:t>
      </w:r>
      <w:hyperlink r:id="rId10" w:history="1">
        <w:r w:rsidRPr="00600FB4">
          <w:rPr>
            <w:rStyle w:val="Hyperlink"/>
          </w:rPr>
          <w:t>awards@alia.org.au</w:t>
        </w:r>
      </w:hyperlink>
      <w:r>
        <w:rPr>
          <w:rStyle w:val="Hyperlink"/>
        </w:rPr>
        <w:t xml:space="preserve">. </w:t>
      </w:r>
      <w:r w:rsidRPr="00600FB4">
        <w:rPr>
          <w:szCs w:val="20"/>
        </w:rPr>
        <w:t>All applications require date and signature.</w:t>
      </w:r>
    </w:p>
    <w:p w14:paraId="3BD14386" w14:textId="77777777" w:rsidR="00BC369C" w:rsidRPr="00BC369C" w:rsidRDefault="00BC369C" w:rsidP="00BC369C">
      <w:pPr>
        <w:pStyle w:val="Heading1"/>
      </w:pPr>
      <w:r>
        <w:t xml:space="preserve">The successful grant recipient: compliance </w:t>
      </w:r>
    </w:p>
    <w:p w14:paraId="661842E5" w14:textId="77777777" w:rsidR="00A16E9C" w:rsidRDefault="00BC369C" w:rsidP="00513825">
      <w:pPr>
        <w:spacing w:after="0"/>
      </w:pPr>
      <w:r w:rsidRPr="00BC369C">
        <w:t>G</w:t>
      </w:r>
      <w:r w:rsidR="00A16E9C" w:rsidRPr="00BC369C">
        <w:t xml:space="preserve">rant recipients </w:t>
      </w:r>
      <w:r w:rsidRPr="00BC369C">
        <w:t xml:space="preserve">are required </w:t>
      </w:r>
      <w:r w:rsidR="00A16E9C" w:rsidRPr="00BC369C">
        <w:t>to meet the terms and conditions</w:t>
      </w:r>
      <w:r w:rsidRPr="00BC369C">
        <w:t xml:space="preserve"> listed on pages 1 and 2 of this document but there are </w:t>
      </w:r>
      <w:r>
        <w:t xml:space="preserve">four </w:t>
      </w:r>
      <w:r w:rsidRPr="00BC369C">
        <w:t xml:space="preserve">ways in </w:t>
      </w:r>
      <w:r>
        <w:t>which they might fail to meet these:</w:t>
      </w:r>
    </w:p>
    <w:p w14:paraId="4BCB3584" w14:textId="77777777" w:rsidR="00513825" w:rsidRDefault="00513825" w:rsidP="00513825">
      <w:pPr>
        <w:spacing w:after="0"/>
      </w:pPr>
    </w:p>
    <w:p w14:paraId="4DD0D920" w14:textId="77777777" w:rsidR="00A16E9C" w:rsidRPr="00ED43A1" w:rsidRDefault="00A16E9C" w:rsidP="00513825">
      <w:pPr>
        <w:pStyle w:val="ListParagraph"/>
        <w:numPr>
          <w:ilvl w:val="0"/>
          <w:numId w:val="4"/>
        </w:numPr>
        <w:spacing w:before="0" w:after="0"/>
      </w:pPr>
      <w:r>
        <w:rPr>
          <w:b/>
        </w:rPr>
        <w:t xml:space="preserve">Void: </w:t>
      </w:r>
      <w:r w:rsidRPr="00624CA6">
        <w:t xml:space="preserve">project cannot be </w:t>
      </w:r>
      <w:r w:rsidRPr="00ED43A1">
        <w:t xml:space="preserve">delivered </w:t>
      </w:r>
      <w:r>
        <w:t xml:space="preserve">in any form, </w:t>
      </w:r>
      <w:r w:rsidRPr="00ED43A1">
        <w:t xml:space="preserve">through </w:t>
      </w:r>
      <w:r>
        <w:t>a change</w:t>
      </w:r>
      <w:r w:rsidRPr="00ED43A1">
        <w:t xml:space="preserve"> in circumstances</w:t>
      </w:r>
      <w:r w:rsidR="00406232">
        <w:t>.</w:t>
      </w:r>
    </w:p>
    <w:p w14:paraId="60268819" w14:textId="77777777" w:rsidR="00A16E9C" w:rsidRDefault="00A16E9C" w:rsidP="00513825">
      <w:pPr>
        <w:pStyle w:val="ListParagraph"/>
        <w:numPr>
          <w:ilvl w:val="0"/>
          <w:numId w:val="4"/>
        </w:numPr>
        <w:spacing w:before="0" w:after="0"/>
      </w:pPr>
      <w:r w:rsidRPr="00624CA6">
        <w:rPr>
          <w:b/>
        </w:rPr>
        <w:t>Delayed response:</w:t>
      </w:r>
      <w:r>
        <w:t xml:space="preserve"> not abiding by the timeline.</w:t>
      </w:r>
    </w:p>
    <w:p w14:paraId="4140215E" w14:textId="77777777" w:rsidR="00A16E9C" w:rsidRDefault="00A16E9C" w:rsidP="00513825">
      <w:pPr>
        <w:pStyle w:val="ListParagraph"/>
        <w:numPr>
          <w:ilvl w:val="0"/>
          <w:numId w:val="4"/>
        </w:numPr>
        <w:spacing w:before="0" w:after="0"/>
      </w:pPr>
      <w:r w:rsidRPr="00624CA6">
        <w:rPr>
          <w:b/>
        </w:rPr>
        <w:t>Incomplete:</w:t>
      </w:r>
      <w:r>
        <w:t xml:space="preserve"> failure to submit reports, articles and/or make a presentation.</w:t>
      </w:r>
    </w:p>
    <w:p w14:paraId="544CD768" w14:textId="77777777" w:rsidR="00A16E9C" w:rsidRDefault="00A16E9C" w:rsidP="00513825">
      <w:pPr>
        <w:pStyle w:val="ListParagraph"/>
        <w:numPr>
          <w:ilvl w:val="0"/>
          <w:numId w:val="4"/>
        </w:numPr>
        <w:spacing w:before="0" w:after="0"/>
      </w:pPr>
      <w:r w:rsidRPr="00624CA6">
        <w:rPr>
          <w:b/>
        </w:rPr>
        <w:t>Quality:</w:t>
      </w:r>
      <w:r>
        <w:t xml:space="preserve"> the work is not of an appropriate standard</w:t>
      </w:r>
      <w:r w:rsidR="00406232">
        <w:t>.</w:t>
      </w:r>
    </w:p>
    <w:p w14:paraId="22F09CD4" w14:textId="77777777" w:rsidR="00BC369C" w:rsidRDefault="00BC369C" w:rsidP="00513825">
      <w:pPr>
        <w:spacing w:after="0"/>
      </w:pPr>
    </w:p>
    <w:p w14:paraId="03BD4803" w14:textId="77777777" w:rsidR="00A16E9C" w:rsidRDefault="00A16E9C" w:rsidP="00513825">
      <w:pPr>
        <w:spacing w:after="0"/>
      </w:pPr>
      <w:r>
        <w:t>The Research Advisory Committee, aided by ALIA staff, will work with grant recipients to try to overcome difficulties that arise during the research project. It is recognised that timelines cannot always be met and that research may take an unlikely turn. Grant recipients will receive mentoring support to overcome any obstacles.</w:t>
      </w:r>
    </w:p>
    <w:p w14:paraId="0F804A26" w14:textId="77777777" w:rsidR="00513825" w:rsidRDefault="00513825" w:rsidP="00513825">
      <w:pPr>
        <w:spacing w:after="0"/>
      </w:pPr>
    </w:p>
    <w:p w14:paraId="47A949FA" w14:textId="77777777" w:rsidR="00A16E9C" w:rsidRDefault="00A16E9C" w:rsidP="00513825">
      <w:pPr>
        <w:spacing w:after="0"/>
      </w:pPr>
      <w:r>
        <w:t>If, after repeated contact, the grant recipient is unable or unwilling to comply with the terms and conditions of the award, additional measures (see forfeiture of award) may be required and the Research Advisory Committee can recommend a course of action to the ALIA Board.</w:t>
      </w:r>
    </w:p>
    <w:p w14:paraId="4487E22C" w14:textId="77777777" w:rsidR="00513825" w:rsidRDefault="00513825" w:rsidP="00513825">
      <w:pPr>
        <w:spacing w:after="0"/>
      </w:pPr>
    </w:p>
    <w:p w14:paraId="2BFC9078" w14:textId="77777777" w:rsidR="00A16E9C" w:rsidRDefault="00A16E9C" w:rsidP="00513825">
      <w:pPr>
        <w:spacing w:after="0"/>
        <w:rPr>
          <w:b/>
        </w:rPr>
      </w:pPr>
      <w:r w:rsidRPr="00BC369C">
        <w:rPr>
          <w:b/>
        </w:rPr>
        <w:t>Void</w:t>
      </w:r>
    </w:p>
    <w:p w14:paraId="133F274F" w14:textId="77777777" w:rsidR="00513825" w:rsidRPr="00BC369C" w:rsidRDefault="00513825" w:rsidP="00513825">
      <w:pPr>
        <w:spacing w:after="0"/>
        <w:rPr>
          <w:b/>
        </w:rPr>
      </w:pPr>
    </w:p>
    <w:p w14:paraId="78D3C1C3" w14:textId="77777777" w:rsidR="00513825" w:rsidRDefault="00A16E9C" w:rsidP="00513825">
      <w:pPr>
        <w:spacing w:after="0"/>
      </w:pPr>
      <w:r>
        <w:t>If a research project cannot be delivered, the Research Advisory Committee can recommend to the ALIA Board that the grant be rescinded.</w:t>
      </w:r>
    </w:p>
    <w:p w14:paraId="6EBD3B4A" w14:textId="77777777" w:rsidR="00A16E9C" w:rsidRDefault="00A16E9C" w:rsidP="00513825">
      <w:pPr>
        <w:spacing w:after="0"/>
      </w:pPr>
      <w:r>
        <w:t xml:space="preserve"> </w:t>
      </w:r>
    </w:p>
    <w:p w14:paraId="6C9883FC" w14:textId="77777777" w:rsidR="00A16E9C" w:rsidRDefault="00A16E9C" w:rsidP="00513825">
      <w:pPr>
        <w:spacing w:after="0"/>
        <w:rPr>
          <w:b/>
        </w:rPr>
      </w:pPr>
      <w:r w:rsidRPr="00BC369C">
        <w:rPr>
          <w:b/>
        </w:rPr>
        <w:t>Delayed response and incomplete</w:t>
      </w:r>
    </w:p>
    <w:p w14:paraId="320C4F5C" w14:textId="77777777" w:rsidR="00513825" w:rsidRPr="00BC369C" w:rsidRDefault="00513825" w:rsidP="00513825">
      <w:pPr>
        <w:spacing w:after="0"/>
        <w:rPr>
          <w:b/>
        </w:rPr>
      </w:pPr>
    </w:p>
    <w:p w14:paraId="1D4D5D28" w14:textId="77777777" w:rsidR="00A16E9C" w:rsidRDefault="00A16E9C" w:rsidP="00513825">
      <w:pPr>
        <w:spacing w:after="0"/>
      </w:pPr>
      <w:r>
        <w:t xml:space="preserve">If the recipient does not fulfil the terms of the grant, after being given reasonable extensions to the timeline (‘reasonable’ to be determined by the Research Advisory Committee), the </w:t>
      </w:r>
      <w:r>
        <w:lastRenderedPageBreak/>
        <w:t>committee can recommend to the ALIA Board some form of appropriate financial penalty, which is likely to be the withholding of the unexpended balance of the award.</w:t>
      </w:r>
    </w:p>
    <w:p w14:paraId="3BFB8E1D" w14:textId="77777777" w:rsidR="00513825" w:rsidRDefault="00513825" w:rsidP="00513825">
      <w:pPr>
        <w:spacing w:after="0"/>
      </w:pPr>
    </w:p>
    <w:p w14:paraId="3C87CC6C" w14:textId="77777777" w:rsidR="00A16E9C" w:rsidRDefault="00A16E9C" w:rsidP="00513825">
      <w:pPr>
        <w:spacing w:after="0"/>
        <w:rPr>
          <w:b/>
        </w:rPr>
      </w:pPr>
      <w:r w:rsidRPr="000C75AB">
        <w:rPr>
          <w:b/>
        </w:rPr>
        <w:t>Quality</w:t>
      </w:r>
    </w:p>
    <w:p w14:paraId="40BA1590" w14:textId="77777777" w:rsidR="00513825" w:rsidRPr="00513825" w:rsidRDefault="00513825" w:rsidP="00513825">
      <w:pPr>
        <w:spacing w:after="0"/>
        <w:rPr>
          <w:b/>
        </w:rPr>
      </w:pPr>
    </w:p>
    <w:p w14:paraId="3DDA1658" w14:textId="77777777" w:rsidR="00A16E9C" w:rsidRDefault="00A16E9C" w:rsidP="00513825">
      <w:pPr>
        <w:spacing w:after="0"/>
      </w:pPr>
      <w:r>
        <w:t xml:space="preserve">If the project has been delivered in full, but, after mentoring and support, the quality of the work is still not of a standard acceptable to the </w:t>
      </w:r>
      <w:r w:rsidR="00513825" w:rsidRPr="00513825">
        <w:rPr>
          <w:i/>
        </w:rPr>
        <w:t>Australian Library Journal</w:t>
      </w:r>
      <w:r>
        <w:t xml:space="preserve"> and </w:t>
      </w:r>
      <w:r w:rsidR="00513825" w:rsidRPr="00513825">
        <w:rPr>
          <w:i/>
        </w:rPr>
        <w:t>Australian Academic and Research Libraries</w:t>
      </w:r>
      <w:r>
        <w:t xml:space="preserve"> editors for publication or a conference committee for presentation, the grant will stand, but alternative methods of dissemination will be considered by the Research Advisory Committee. </w:t>
      </w:r>
    </w:p>
    <w:p w14:paraId="7298106C" w14:textId="77777777" w:rsidR="00513825" w:rsidRDefault="00513825" w:rsidP="00513825">
      <w:pPr>
        <w:spacing w:after="0"/>
      </w:pPr>
    </w:p>
    <w:p w14:paraId="4EBAF2FF" w14:textId="77777777" w:rsidR="00A16E9C" w:rsidRDefault="00A16E9C" w:rsidP="00513825">
      <w:pPr>
        <w:spacing w:after="0"/>
        <w:outlineLvl w:val="2"/>
        <w:rPr>
          <w:rFonts w:eastAsia="Times New Roman"/>
          <w:b/>
          <w:bCs/>
          <w:szCs w:val="20"/>
        </w:rPr>
      </w:pPr>
      <w:r w:rsidRPr="00AB0DD3">
        <w:rPr>
          <w:rFonts w:eastAsia="Times New Roman"/>
          <w:b/>
          <w:bCs/>
          <w:szCs w:val="20"/>
        </w:rPr>
        <w:t>Forfeiture of awards</w:t>
      </w:r>
    </w:p>
    <w:p w14:paraId="750912E6" w14:textId="77777777" w:rsidR="00513825" w:rsidRPr="00AB0DD3" w:rsidRDefault="00513825" w:rsidP="00513825">
      <w:pPr>
        <w:spacing w:after="0"/>
        <w:outlineLvl w:val="2"/>
        <w:rPr>
          <w:rFonts w:eastAsia="Times New Roman"/>
          <w:b/>
          <w:bCs/>
          <w:szCs w:val="20"/>
        </w:rPr>
      </w:pPr>
    </w:p>
    <w:p w14:paraId="782701D4" w14:textId="77777777" w:rsidR="00A16E9C" w:rsidRDefault="00A16E9C" w:rsidP="00513825">
      <w:pPr>
        <w:spacing w:after="0"/>
        <w:rPr>
          <w:rFonts w:eastAsia="Times New Roman"/>
          <w:szCs w:val="20"/>
        </w:rPr>
      </w:pPr>
      <w:r w:rsidRPr="00AB0DD3">
        <w:rPr>
          <w:rFonts w:eastAsia="Times New Roman"/>
          <w:szCs w:val="20"/>
        </w:rPr>
        <w:t>The unexpended balance of any award may at the absolute discretion of the committee be forfeited by the recipient in the following cases:</w:t>
      </w:r>
    </w:p>
    <w:p w14:paraId="0B7E2106" w14:textId="77777777" w:rsidR="00513825" w:rsidRPr="00AB0DD3" w:rsidRDefault="00513825" w:rsidP="00513825">
      <w:pPr>
        <w:spacing w:after="0"/>
        <w:rPr>
          <w:rFonts w:eastAsia="Times New Roman"/>
          <w:szCs w:val="20"/>
        </w:rPr>
      </w:pPr>
    </w:p>
    <w:p w14:paraId="00C5922A" w14:textId="77777777" w:rsidR="00A16E9C" w:rsidRPr="00AB0DD3" w:rsidRDefault="00A16E9C" w:rsidP="00513825">
      <w:pPr>
        <w:numPr>
          <w:ilvl w:val="0"/>
          <w:numId w:val="5"/>
        </w:numPr>
        <w:spacing w:after="0"/>
        <w:rPr>
          <w:rFonts w:eastAsia="Times New Roman"/>
          <w:szCs w:val="20"/>
        </w:rPr>
      </w:pPr>
      <w:r w:rsidRPr="00AB0DD3">
        <w:rPr>
          <w:rFonts w:eastAsia="Times New Roman"/>
          <w:szCs w:val="20"/>
        </w:rPr>
        <w:t>In the event of the recipient not fulfilling any conditions that may be attached to the terms of the award.</w:t>
      </w:r>
    </w:p>
    <w:p w14:paraId="36850477" w14:textId="77777777" w:rsidR="00A16E9C" w:rsidRPr="00AB0DD3" w:rsidRDefault="00A16E9C" w:rsidP="00513825">
      <w:pPr>
        <w:numPr>
          <w:ilvl w:val="0"/>
          <w:numId w:val="5"/>
        </w:numPr>
        <w:spacing w:after="0"/>
        <w:rPr>
          <w:rFonts w:eastAsia="Times New Roman"/>
          <w:szCs w:val="20"/>
        </w:rPr>
      </w:pPr>
      <w:r w:rsidRPr="00AB0DD3">
        <w:rPr>
          <w:rFonts w:eastAsia="Times New Roman"/>
          <w:szCs w:val="20"/>
        </w:rPr>
        <w:t>In the event of the recipient for any reason what</w:t>
      </w:r>
      <w:r>
        <w:rPr>
          <w:rFonts w:eastAsia="Times New Roman"/>
          <w:szCs w:val="20"/>
        </w:rPr>
        <w:t>so</w:t>
      </w:r>
      <w:r w:rsidRPr="00AB0DD3">
        <w:rPr>
          <w:rFonts w:eastAsia="Times New Roman"/>
          <w:szCs w:val="20"/>
        </w:rPr>
        <w:t>ever being prevented from continuing their research.</w:t>
      </w:r>
    </w:p>
    <w:p w14:paraId="28090D58" w14:textId="77777777" w:rsidR="00A16E9C" w:rsidRDefault="00A16E9C" w:rsidP="00513825">
      <w:pPr>
        <w:numPr>
          <w:ilvl w:val="0"/>
          <w:numId w:val="5"/>
        </w:numPr>
        <w:spacing w:after="0"/>
        <w:rPr>
          <w:rFonts w:eastAsia="Times New Roman"/>
          <w:szCs w:val="20"/>
        </w:rPr>
      </w:pPr>
      <w:r w:rsidRPr="00AB0DD3">
        <w:rPr>
          <w:rFonts w:eastAsia="Times New Roman"/>
          <w:szCs w:val="20"/>
        </w:rPr>
        <w:t xml:space="preserve">In the event that the recipient does not utilise the award within </w:t>
      </w:r>
      <w:r>
        <w:rPr>
          <w:rFonts w:eastAsia="Times New Roman"/>
          <w:szCs w:val="20"/>
        </w:rPr>
        <w:t>12</w:t>
      </w:r>
      <w:r w:rsidRPr="00AB0DD3">
        <w:rPr>
          <w:rFonts w:eastAsia="Times New Roman"/>
          <w:szCs w:val="20"/>
        </w:rPr>
        <w:t xml:space="preserve"> months of its acceptance.</w:t>
      </w:r>
    </w:p>
    <w:p w14:paraId="7E51AC2D" w14:textId="77777777" w:rsidR="00513825" w:rsidRPr="00AB0DD3" w:rsidRDefault="00513825" w:rsidP="00513825">
      <w:pPr>
        <w:spacing w:after="0"/>
        <w:ind w:left="720"/>
        <w:rPr>
          <w:rFonts w:eastAsia="Times New Roman"/>
          <w:szCs w:val="20"/>
        </w:rPr>
      </w:pPr>
    </w:p>
    <w:p w14:paraId="1E4737EE" w14:textId="77777777" w:rsidR="00A16E9C" w:rsidRPr="00AB0DD3" w:rsidRDefault="00A16E9C" w:rsidP="00513825">
      <w:pPr>
        <w:spacing w:after="0"/>
        <w:rPr>
          <w:rFonts w:eastAsia="Times New Roman"/>
          <w:szCs w:val="20"/>
        </w:rPr>
      </w:pPr>
      <w:r w:rsidRPr="00AB0DD3">
        <w:rPr>
          <w:rFonts w:eastAsia="Times New Roman"/>
          <w:szCs w:val="20"/>
        </w:rPr>
        <w:t>All applications will become the property of ALIA and will be kept confidential. Only the details of the successful applications will be made public.</w:t>
      </w:r>
    </w:p>
    <w:p w14:paraId="2D39696C" w14:textId="77777777" w:rsidR="00A16E9C" w:rsidRDefault="00A16E9C" w:rsidP="00687FD0">
      <w:pPr>
        <w:rPr>
          <w:szCs w:val="20"/>
        </w:rPr>
      </w:pPr>
    </w:p>
    <w:p w14:paraId="0E8E2469" w14:textId="6FEF3E3D" w:rsidR="00A16E9C" w:rsidRPr="00D4711E" w:rsidRDefault="009F0F43" w:rsidP="00687FD0">
      <w:pPr>
        <w:rPr>
          <w:b/>
          <w:sz w:val="24"/>
          <w:szCs w:val="24"/>
        </w:rPr>
      </w:pPr>
      <w:r>
        <w:rPr>
          <w:b/>
          <w:sz w:val="24"/>
          <w:szCs w:val="24"/>
        </w:rPr>
        <w:t>Last updated 12 April 2023</w:t>
      </w:r>
    </w:p>
    <w:sectPr w:rsidR="00A16E9C" w:rsidRPr="00D4711E" w:rsidSect="005B5DC4">
      <w:headerReference w:type="default" r:id="rId11"/>
      <w:footerReference w:type="default" r:id="rId12"/>
      <w:headerReference w:type="first" r:id="rId13"/>
      <w:pgSz w:w="11900" w:h="16840"/>
      <w:pgMar w:top="2552" w:right="1247" w:bottom="2268"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EE73" w14:textId="77777777" w:rsidR="0093616C" w:rsidRDefault="0093616C" w:rsidP="00866858">
      <w:pPr>
        <w:spacing w:after="0" w:line="240" w:lineRule="auto"/>
      </w:pPr>
      <w:r>
        <w:separator/>
      </w:r>
    </w:p>
  </w:endnote>
  <w:endnote w:type="continuationSeparator" w:id="0">
    <w:p w14:paraId="5DAB11EA" w14:textId="77777777" w:rsidR="0093616C" w:rsidRDefault="0093616C" w:rsidP="0086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GｺﾞｼｯｸM">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42682"/>
      <w:docPartObj>
        <w:docPartGallery w:val="Page Numbers (Bottom of Page)"/>
        <w:docPartUnique/>
      </w:docPartObj>
    </w:sdtPr>
    <w:sdtEndPr>
      <w:rPr>
        <w:szCs w:val="16"/>
      </w:rPr>
    </w:sdtEndPr>
    <w:sdtContent>
      <w:p w14:paraId="5C87BE13" w14:textId="77777777" w:rsidR="00406232" w:rsidRPr="007437F8" w:rsidRDefault="00393277">
        <w:pPr>
          <w:pStyle w:val="Footer"/>
          <w:jc w:val="right"/>
          <w:rPr>
            <w:szCs w:val="16"/>
          </w:rPr>
        </w:pPr>
        <w:r w:rsidRPr="007437F8">
          <w:rPr>
            <w:szCs w:val="16"/>
          </w:rPr>
          <w:fldChar w:fldCharType="begin"/>
        </w:r>
        <w:r w:rsidR="00406232" w:rsidRPr="007437F8">
          <w:rPr>
            <w:szCs w:val="16"/>
          </w:rPr>
          <w:instrText xml:space="preserve"> PAGE   \* MERGEFORMAT </w:instrText>
        </w:r>
        <w:r w:rsidRPr="007437F8">
          <w:rPr>
            <w:szCs w:val="16"/>
          </w:rPr>
          <w:fldChar w:fldCharType="separate"/>
        </w:r>
        <w:r w:rsidR="008670E8">
          <w:rPr>
            <w:noProof/>
            <w:szCs w:val="16"/>
          </w:rPr>
          <w:t>2</w:t>
        </w:r>
        <w:r w:rsidRPr="007437F8">
          <w:rPr>
            <w:noProof/>
            <w:szCs w:val="16"/>
          </w:rPr>
          <w:fldChar w:fldCharType="end"/>
        </w:r>
      </w:p>
    </w:sdtContent>
  </w:sdt>
  <w:p w14:paraId="5E93C63A" w14:textId="77777777" w:rsidR="00406232" w:rsidRDefault="00406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3DD2" w14:textId="77777777" w:rsidR="0093616C" w:rsidRDefault="0093616C" w:rsidP="00866858">
      <w:pPr>
        <w:spacing w:after="0" w:line="240" w:lineRule="auto"/>
      </w:pPr>
      <w:r>
        <w:separator/>
      </w:r>
    </w:p>
  </w:footnote>
  <w:footnote w:type="continuationSeparator" w:id="0">
    <w:p w14:paraId="47E44506" w14:textId="77777777" w:rsidR="0093616C" w:rsidRDefault="0093616C" w:rsidP="00866858">
      <w:pPr>
        <w:spacing w:after="0" w:line="240" w:lineRule="auto"/>
      </w:pPr>
      <w:r>
        <w:continuationSeparator/>
      </w:r>
    </w:p>
  </w:footnote>
  <w:footnote w:id="1">
    <w:p w14:paraId="24AB7618" w14:textId="77777777" w:rsidR="00BF71FC" w:rsidRPr="00D60BD9" w:rsidRDefault="00BF71FC" w:rsidP="00D60BD9">
      <w:pPr>
        <w:rPr>
          <w:sz w:val="16"/>
          <w:szCs w:val="16"/>
        </w:rPr>
      </w:pPr>
      <w:r w:rsidRPr="00BF71FC">
        <w:rPr>
          <w:rStyle w:val="FootnoteReference"/>
        </w:rPr>
        <w:footnoteRef/>
      </w:r>
      <w:r w:rsidRPr="00BF71FC">
        <w:t xml:space="preserve"> </w:t>
      </w:r>
      <w:r w:rsidRPr="00BF71FC">
        <w:rPr>
          <w:sz w:val="16"/>
          <w:szCs w:val="16"/>
        </w:rPr>
        <w:t xml:space="preserve">As a guide, Early Career Researchers (ECR) are researchers who are within five years of the start of their research careers when they submit their applications. This normally means that you have been awarded a PhD or equivalent research doctorate within five years, however, an extension to this limit may be approved owing to significant career </w:t>
      </w:r>
      <w:r w:rsidRPr="00D60BD9">
        <w:rPr>
          <w:sz w:val="16"/>
          <w:szCs w:val="16"/>
        </w:rPr>
        <w:t>interruptions (</w:t>
      </w:r>
      <w:hyperlink r:id="rId1" w:history="1">
        <w:r w:rsidRPr="00D60BD9">
          <w:rPr>
            <w:rStyle w:val="Hyperlink"/>
            <w:sz w:val="16"/>
            <w:szCs w:val="16"/>
          </w:rPr>
          <w:t>Australian Research Council</w:t>
        </w:r>
      </w:hyperlink>
      <w:r w:rsidRPr="00D60BD9">
        <w:rPr>
          <w:sz w:val="16"/>
          <w:szCs w:val="16"/>
          <w:u w:color="D11947"/>
        </w:rPr>
        <w:t xml:space="preserve">). </w:t>
      </w:r>
    </w:p>
  </w:footnote>
  <w:footnote w:id="2">
    <w:p w14:paraId="60DE349C" w14:textId="77777777" w:rsidR="00D60BD9" w:rsidRPr="00D60BD9" w:rsidRDefault="00D60BD9">
      <w:pPr>
        <w:pStyle w:val="FootnoteText"/>
        <w:rPr>
          <w:sz w:val="16"/>
          <w:szCs w:val="16"/>
        </w:rPr>
      </w:pPr>
      <w:r w:rsidRPr="00D60BD9">
        <w:rPr>
          <w:rStyle w:val="FootnoteReference"/>
          <w:sz w:val="16"/>
          <w:szCs w:val="16"/>
        </w:rPr>
        <w:footnoteRef/>
      </w:r>
      <w:r w:rsidRPr="00D60BD9">
        <w:rPr>
          <w:sz w:val="16"/>
          <w:szCs w:val="16"/>
        </w:rPr>
        <w:t xml:space="preserve"> Research students may apply to fund a component of their study conducted as part of their university course. In this case, the study component must be defined as a distinct project. Members of the ALIA Research Advisory Committee are eligible to apply but will not be present in meetings when research awards are discussed.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62D3" w14:textId="77777777" w:rsidR="00406232" w:rsidRDefault="00406232">
    <w:r>
      <w:rPr>
        <w:noProof/>
        <w:lang w:eastAsia="en-AU"/>
      </w:rPr>
      <w:drawing>
        <wp:anchor distT="0" distB="0" distL="114300" distR="114300" simplePos="0" relativeHeight="251658240" behindDoc="1" locked="0" layoutInCell="1" allowOverlap="1" wp14:anchorId="14F54786" wp14:editId="20C58B4A">
          <wp:simplePos x="0" y="0"/>
          <wp:positionH relativeFrom="page">
            <wp:posOffset>0</wp:posOffset>
          </wp:positionH>
          <wp:positionV relativeFrom="page">
            <wp:posOffset>0</wp:posOffset>
          </wp:positionV>
          <wp:extent cx="7559040" cy="10692384"/>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Letterhead-CMYK-with-BLEE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2096" w14:textId="77777777" w:rsidR="00406232" w:rsidRDefault="00406232">
    <w:pPr>
      <w:pStyle w:val="Header"/>
    </w:pPr>
    <w:r>
      <w:rPr>
        <w:noProof/>
        <w:lang w:eastAsia="en-AU"/>
      </w:rPr>
      <w:drawing>
        <wp:anchor distT="0" distB="0" distL="114300" distR="114300" simplePos="0" relativeHeight="251660288" behindDoc="1" locked="0" layoutInCell="1" allowOverlap="1" wp14:anchorId="557D64C8" wp14:editId="469030C3">
          <wp:simplePos x="0" y="0"/>
          <wp:positionH relativeFrom="page">
            <wp:posOffset>0</wp:posOffset>
          </wp:positionH>
          <wp:positionV relativeFrom="page">
            <wp:posOffset>0</wp:posOffset>
          </wp:positionV>
          <wp:extent cx="7559040" cy="10692384"/>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Letterhead-Internal.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054CBE0"/>
    <w:lvl w:ilvl="0">
      <w:start w:val="1"/>
      <w:numFmt w:val="decimal"/>
      <w:pStyle w:val="ListNumber"/>
      <w:lvlText w:val="%1."/>
      <w:lvlJc w:val="left"/>
      <w:pPr>
        <w:tabs>
          <w:tab w:val="num" w:pos="360"/>
        </w:tabs>
        <w:ind w:left="360" w:hanging="360"/>
      </w:pPr>
    </w:lvl>
  </w:abstractNum>
  <w:abstractNum w:abstractNumId="1" w15:restartNumberingAfterBreak="0">
    <w:nsid w:val="12707ABC"/>
    <w:multiLevelType w:val="hybridMultilevel"/>
    <w:tmpl w:val="DA9E580A"/>
    <w:lvl w:ilvl="0" w:tplc="01E4CACE">
      <w:start w:val="1"/>
      <w:numFmt w:val="bullet"/>
      <w:pStyle w:val="ListParagraph"/>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07976"/>
    <w:multiLevelType w:val="multilevel"/>
    <w:tmpl w:val="EA3A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B94940"/>
    <w:multiLevelType w:val="hybridMultilevel"/>
    <w:tmpl w:val="B7D05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6371894">
    <w:abstractNumId w:val="1"/>
  </w:num>
  <w:num w:numId="2" w16cid:durableId="1461458774">
    <w:abstractNumId w:val="0"/>
  </w:num>
  <w:num w:numId="3" w16cid:durableId="18075017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1388760">
    <w:abstractNumId w:val="3"/>
  </w:num>
  <w:num w:numId="5" w16cid:durableId="185218477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05"/>
    <w:rsid w:val="00045484"/>
    <w:rsid w:val="00047052"/>
    <w:rsid w:val="00056098"/>
    <w:rsid w:val="00061465"/>
    <w:rsid w:val="0008562D"/>
    <w:rsid w:val="00097917"/>
    <w:rsid w:val="000B0145"/>
    <w:rsid w:val="000C4D39"/>
    <w:rsid w:val="000F1A99"/>
    <w:rsid w:val="001A2D9E"/>
    <w:rsid w:val="001B407C"/>
    <w:rsid w:val="001E49BE"/>
    <w:rsid w:val="001E535A"/>
    <w:rsid w:val="001F3F4E"/>
    <w:rsid w:val="0022278F"/>
    <w:rsid w:val="00260896"/>
    <w:rsid w:val="002762C0"/>
    <w:rsid w:val="003507A4"/>
    <w:rsid w:val="003771BB"/>
    <w:rsid w:val="00393277"/>
    <w:rsid w:val="003C098C"/>
    <w:rsid w:val="003E6070"/>
    <w:rsid w:val="003F5E80"/>
    <w:rsid w:val="00406232"/>
    <w:rsid w:val="00425121"/>
    <w:rsid w:val="0045144D"/>
    <w:rsid w:val="00464BAA"/>
    <w:rsid w:val="004A1935"/>
    <w:rsid w:val="004C7F77"/>
    <w:rsid w:val="004D2F0E"/>
    <w:rsid w:val="004D5C53"/>
    <w:rsid w:val="00506431"/>
    <w:rsid w:val="00513825"/>
    <w:rsid w:val="00515503"/>
    <w:rsid w:val="0054297A"/>
    <w:rsid w:val="00554E0F"/>
    <w:rsid w:val="005729F3"/>
    <w:rsid w:val="00574093"/>
    <w:rsid w:val="005B5DC4"/>
    <w:rsid w:val="005D5DFD"/>
    <w:rsid w:val="00614A6C"/>
    <w:rsid w:val="006204C4"/>
    <w:rsid w:val="006467AD"/>
    <w:rsid w:val="006515B7"/>
    <w:rsid w:val="0068219E"/>
    <w:rsid w:val="00687FD0"/>
    <w:rsid w:val="006B44FA"/>
    <w:rsid w:val="006D1C74"/>
    <w:rsid w:val="006D30E9"/>
    <w:rsid w:val="006D41D9"/>
    <w:rsid w:val="006D7E3D"/>
    <w:rsid w:val="007218DB"/>
    <w:rsid w:val="00731463"/>
    <w:rsid w:val="007437F8"/>
    <w:rsid w:val="007A1C9C"/>
    <w:rsid w:val="007F7F1F"/>
    <w:rsid w:val="00802CF6"/>
    <w:rsid w:val="00866858"/>
    <w:rsid w:val="008670E8"/>
    <w:rsid w:val="008B6FA4"/>
    <w:rsid w:val="008E03E1"/>
    <w:rsid w:val="0093616C"/>
    <w:rsid w:val="0094569E"/>
    <w:rsid w:val="009B3D6C"/>
    <w:rsid w:val="009B6BDC"/>
    <w:rsid w:val="009E3520"/>
    <w:rsid w:val="009F0F43"/>
    <w:rsid w:val="009F113B"/>
    <w:rsid w:val="009F1D7A"/>
    <w:rsid w:val="00A167BC"/>
    <w:rsid w:val="00A16E9C"/>
    <w:rsid w:val="00A406D3"/>
    <w:rsid w:val="00A43CE4"/>
    <w:rsid w:val="00A73DA2"/>
    <w:rsid w:val="00A74DF8"/>
    <w:rsid w:val="00AE0C26"/>
    <w:rsid w:val="00B667F4"/>
    <w:rsid w:val="00B805D9"/>
    <w:rsid w:val="00BC369C"/>
    <w:rsid w:val="00BF71FC"/>
    <w:rsid w:val="00C262F3"/>
    <w:rsid w:val="00C66278"/>
    <w:rsid w:val="00CE47B2"/>
    <w:rsid w:val="00CE4ACB"/>
    <w:rsid w:val="00CF6F42"/>
    <w:rsid w:val="00CF7DF5"/>
    <w:rsid w:val="00D13978"/>
    <w:rsid w:val="00D3096F"/>
    <w:rsid w:val="00D4711E"/>
    <w:rsid w:val="00D507E6"/>
    <w:rsid w:val="00D60BD9"/>
    <w:rsid w:val="00D74334"/>
    <w:rsid w:val="00DC02FE"/>
    <w:rsid w:val="00E33072"/>
    <w:rsid w:val="00E37C05"/>
    <w:rsid w:val="00E67D37"/>
    <w:rsid w:val="00E714CE"/>
    <w:rsid w:val="00E7405F"/>
    <w:rsid w:val="00E76516"/>
    <w:rsid w:val="00E820CA"/>
    <w:rsid w:val="00E83817"/>
    <w:rsid w:val="00E84CC4"/>
    <w:rsid w:val="00E97BBE"/>
    <w:rsid w:val="00EA64E6"/>
    <w:rsid w:val="00EE23AE"/>
    <w:rsid w:val="00EF5888"/>
    <w:rsid w:val="00F24ED4"/>
    <w:rsid w:val="00F27FEA"/>
    <w:rsid w:val="00F3445D"/>
    <w:rsid w:val="00F609F9"/>
    <w:rsid w:val="00F62117"/>
    <w:rsid w:val="00F80545"/>
    <w:rsid w:val="00FB2630"/>
    <w:rsid w:val="00FD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20AAC3"/>
  <w15:docId w15:val="{07866179-506C-4FA3-89A2-D500A47B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D0"/>
    <w:pPr>
      <w:spacing w:after="200" w:line="276" w:lineRule="auto"/>
    </w:pPr>
    <w:rPr>
      <w:rFonts w:eastAsiaTheme="minorHAnsi"/>
      <w:sz w:val="20"/>
      <w:szCs w:val="22"/>
      <w:lang w:val="en-AU"/>
    </w:rPr>
  </w:style>
  <w:style w:type="paragraph" w:styleId="Heading1">
    <w:name w:val="heading 1"/>
    <w:basedOn w:val="Normal"/>
    <w:next w:val="Normal"/>
    <w:link w:val="Heading1Char"/>
    <w:uiPriority w:val="9"/>
    <w:qFormat/>
    <w:rsid w:val="00AE0C26"/>
    <w:pPr>
      <w:keepNext/>
      <w:keepLines/>
      <w:spacing w:before="320"/>
      <w:contextualSpacing/>
      <w:outlineLvl w:val="0"/>
    </w:pPr>
    <w:rPr>
      <w:rFonts w:eastAsiaTheme="majorEastAsia" w:cstheme="majorBidi"/>
      <w:color w:val="CD1E41"/>
      <w:sz w:val="28"/>
      <w:szCs w:val="28"/>
    </w:rPr>
  </w:style>
  <w:style w:type="paragraph" w:styleId="Heading2">
    <w:name w:val="heading 2"/>
    <w:basedOn w:val="Normal"/>
    <w:next w:val="Normal"/>
    <w:link w:val="Heading2Char"/>
    <w:uiPriority w:val="9"/>
    <w:unhideWhenUsed/>
    <w:qFormat/>
    <w:rsid w:val="00AE0C26"/>
    <w:pPr>
      <w:keepNext/>
      <w:keepLines/>
      <w:spacing w:before="320" w:after="120"/>
      <w:outlineLvl w:val="1"/>
    </w:pPr>
    <w:rPr>
      <w:rFonts w:eastAsiaTheme="majorEastAsia" w:cstheme="majorBidi"/>
      <w:color w:val="D11947"/>
      <w:sz w:val="24"/>
      <w:szCs w:val="24"/>
    </w:rPr>
  </w:style>
  <w:style w:type="paragraph" w:styleId="Heading3">
    <w:name w:val="heading 3"/>
    <w:basedOn w:val="Heading2"/>
    <w:next w:val="Normal"/>
    <w:link w:val="Heading3Char"/>
    <w:uiPriority w:val="9"/>
    <w:unhideWhenUsed/>
    <w:qFormat/>
    <w:rsid w:val="0045144D"/>
    <w:pPr>
      <w:spacing w:before="160" w:after="160" w:line="280" w:lineRule="exact"/>
      <w:outlineLvl w:val="2"/>
    </w:pPr>
    <w:rPr>
      <w:color w:val="CD1E41"/>
      <w:sz w:val="20"/>
      <w:szCs w:val="20"/>
    </w:rPr>
  </w:style>
  <w:style w:type="paragraph" w:styleId="Heading4">
    <w:name w:val="heading 4"/>
    <w:basedOn w:val="Heading3"/>
    <w:next w:val="Normal"/>
    <w:link w:val="Heading4Char"/>
    <w:uiPriority w:val="9"/>
    <w:unhideWhenUsed/>
    <w:rsid w:val="00506431"/>
    <w:pPr>
      <w:outlineLvl w:val="3"/>
    </w:pPr>
    <w:rPr>
      <w:i/>
    </w:rPr>
  </w:style>
  <w:style w:type="paragraph" w:styleId="Heading5">
    <w:name w:val="heading 5"/>
    <w:basedOn w:val="Heading3"/>
    <w:next w:val="Normal"/>
    <w:link w:val="Heading5Char"/>
    <w:uiPriority w:val="9"/>
    <w:unhideWhenUsed/>
    <w:rsid w:val="00506431"/>
    <w:pPr>
      <w:outlineLvl w:val="4"/>
    </w:pPr>
    <w:rPr>
      <w:color w:val="auto"/>
    </w:rPr>
  </w:style>
  <w:style w:type="paragraph" w:styleId="Heading6">
    <w:name w:val="heading 6"/>
    <w:basedOn w:val="Normal"/>
    <w:next w:val="Normal"/>
    <w:link w:val="Heading6Char"/>
    <w:uiPriority w:val="9"/>
    <w:unhideWhenUsed/>
    <w:rsid w:val="00506431"/>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rsid w:val="00506431"/>
    <w:pPr>
      <w:keepNext/>
      <w:keepLines/>
      <w:spacing w:before="200" w:after="0"/>
      <w:outlineLvl w:val="6"/>
    </w:pPr>
    <w:rPr>
      <w:rFonts w:asciiTheme="majorHAnsi" w:eastAsiaTheme="majorEastAsia" w:hAnsiTheme="majorHAnsi" w:cstheme="majorBidi"/>
      <w:color w:val="D11947"/>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C26"/>
    <w:rPr>
      <w:rFonts w:ascii="Century Gothic" w:eastAsiaTheme="majorEastAsia" w:hAnsi="Century Gothic" w:cstheme="majorBidi"/>
      <w:color w:val="CD1E41"/>
      <w:sz w:val="28"/>
      <w:szCs w:val="28"/>
    </w:rPr>
  </w:style>
  <w:style w:type="character" w:customStyle="1" w:styleId="Heading2Char">
    <w:name w:val="Heading 2 Char"/>
    <w:basedOn w:val="DefaultParagraphFont"/>
    <w:link w:val="Heading2"/>
    <w:uiPriority w:val="9"/>
    <w:rsid w:val="00AE0C26"/>
    <w:rPr>
      <w:rFonts w:ascii="Century Gothic" w:eastAsiaTheme="majorEastAsia" w:hAnsi="Century Gothic" w:cstheme="majorBidi"/>
      <w:color w:val="D11947"/>
    </w:rPr>
  </w:style>
  <w:style w:type="character" w:customStyle="1" w:styleId="Heading3Char">
    <w:name w:val="Heading 3 Char"/>
    <w:basedOn w:val="DefaultParagraphFont"/>
    <w:link w:val="Heading3"/>
    <w:uiPriority w:val="9"/>
    <w:rsid w:val="0045144D"/>
    <w:rPr>
      <w:rFonts w:ascii="Century Gothic" w:eastAsiaTheme="majorEastAsia" w:hAnsi="Century Gothic" w:cstheme="majorBidi"/>
      <w:color w:val="CD1E41"/>
      <w:sz w:val="20"/>
      <w:szCs w:val="20"/>
    </w:rPr>
  </w:style>
  <w:style w:type="character" w:customStyle="1" w:styleId="Heading4Char">
    <w:name w:val="Heading 4 Char"/>
    <w:basedOn w:val="DefaultParagraphFont"/>
    <w:link w:val="Heading4"/>
    <w:uiPriority w:val="9"/>
    <w:rsid w:val="00506431"/>
    <w:rPr>
      <w:rFonts w:ascii="Century Gothic" w:eastAsiaTheme="majorEastAsia" w:hAnsi="Century Gothic" w:cstheme="majorBidi"/>
      <w:i/>
      <w:color w:val="CD1E41"/>
      <w:sz w:val="20"/>
      <w:szCs w:val="20"/>
    </w:rPr>
  </w:style>
  <w:style w:type="character" w:customStyle="1" w:styleId="Heading5Char">
    <w:name w:val="Heading 5 Char"/>
    <w:basedOn w:val="DefaultParagraphFont"/>
    <w:link w:val="Heading5"/>
    <w:uiPriority w:val="9"/>
    <w:rsid w:val="00506431"/>
    <w:rPr>
      <w:rFonts w:ascii="Century Gothic" w:eastAsiaTheme="majorEastAsia" w:hAnsi="Century Gothic" w:cstheme="majorBidi"/>
      <w:sz w:val="20"/>
      <w:szCs w:val="20"/>
    </w:rPr>
  </w:style>
  <w:style w:type="character" w:customStyle="1" w:styleId="Heading6Char">
    <w:name w:val="Heading 6 Char"/>
    <w:basedOn w:val="DefaultParagraphFont"/>
    <w:link w:val="Heading6"/>
    <w:uiPriority w:val="9"/>
    <w:rsid w:val="00506431"/>
    <w:rPr>
      <w:rFonts w:asciiTheme="majorHAnsi" w:eastAsiaTheme="majorEastAsia" w:hAnsiTheme="majorHAnsi" w:cstheme="majorBidi"/>
      <w:i/>
      <w:iCs/>
      <w:sz w:val="20"/>
      <w:szCs w:val="20"/>
    </w:rPr>
  </w:style>
  <w:style w:type="character" w:customStyle="1" w:styleId="Heading7Char">
    <w:name w:val="Heading 7 Char"/>
    <w:basedOn w:val="DefaultParagraphFont"/>
    <w:link w:val="Heading7"/>
    <w:uiPriority w:val="9"/>
    <w:rsid w:val="00506431"/>
    <w:rPr>
      <w:rFonts w:asciiTheme="majorHAnsi" w:eastAsiaTheme="majorEastAsia" w:hAnsiTheme="majorHAnsi" w:cstheme="majorBidi"/>
      <w:color w:val="D11947"/>
      <w:sz w:val="16"/>
      <w:szCs w:val="16"/>
    </w:rPr>
  </w:style>
  <w:style w:type="paragraph" w:styleId="ListNumber">
    <w:name w:val="List Number"/>
    <w:basedOn w:val="Normal"/>
    <w:uiPriority w:val="99"/>
    <w:unhideWhenUsed/>
    <w:rsid w:val="00CF6F42"/>
    <w:pPr>
      <w:numPr>
        <w:numId w:val="2"/>
      </w:numPr>
      <w:spacing w:before="80" w:after="80"/>
      <w:ind w:left="340" w:hanging="340"/>
      <w:contextualSpacing/>
    </w:pPr>
  </w:style>
  <w:style w:type="paragraph" w:styleId="Header">
    <w:name w:val="header"/>
    <w:basedOn w:val="Normal"/>
    <w:link w:val="HeaderChar"/>
    <w:uiPriority w:val="99"/>
    <w:unhideWhenUsed/>
    <w:rsid w:val="00CF6F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6F42"/>
    <w:rPr>
      <w:rFonts w:ascii="Century Gothic" w:hAnsi="Century Gothic"/>
      <w:color w:val="000000" w:themeColor="text1"/>
      <w:sz w:val="20"/>
      <w:szCs w:val="20"/>
    </w:rPr>
  </w:style>
  <w:style w:type="paragraph" w:styleId="Footer">
    <w:name w:val="footer"/>
    <w:basedOn w:val="Normal"/>
    <w:link w:val="FooterChar"/>
    <w:uiPriority w:val="99"/>
    <w:unhideWhenUsed/>
    <w:rsid w:val="00FD25E6"/>
    <w:pPr>
      <w:tabs>
        <w:tab w:val="center" w:pos="4320"/>
        <w:tab w:val="right" w:pos="8640"/>
      </w:tabs>
    </w:pPr>
    <w:rPr>
      <w:sz w:val="16"/>
    </w:rPr>
  </w:style>
  <w:style w:type="character" w:customStyle="1" w:styleId="FooterChar">
    <w:name w:val="Footer Char"/>
    <w:basedOn w:val="DefaultParagraphFont"/>
    <w:link w:val="Footer"/>
    <w:uiPriority w:val="99"/>
    <w:rsid w:val="00FD25E6"/>
    <w:rPr>
      <w:rFonts w:ascii="Century Gothic" w:hAnsi="Century Gothic"/>
      <w:color w:val="000000" w:themeColor="text1"/>
      <w:sz w:val="16"/>
      <w:szCs w:val="20"/>
    </w:rPr>
  </w:style>
  <w:style w:type="paragraph" w:styleId="ListParagraph">
    <w:name w:val="List Paragraph"/>
    <w:uiPriority w:val="34"/>
    <w:qFormat/>
    <w:rsid w:val="006D1C74"/>
    <w:pPr>
      <w:numPr>
        <w:numId w:val="1"/>
      </w:numPr>
      <w:spacing w:before="80" w:after="80" w:line="276" w:lineRule="auto"/>
      <w:contextualSpacing/>
    </w:pPr>
    <w:rPr>
      <w:rFonts w:ascii="Century Gothic" w:eastAsiaTheme="minorHAnsi" w:hAnsi="Century Gothic" w:cs="Arial"/>
      <w:sz w:val="20"/>
      <w:szCs w:val="20"/>
      <w:lang w:val="en-AU"/>
    </w:rPr>
  </w:style>
  <w:style w:type="character" w:styleId="Hyperlink">
    <w:name w:val="Hyperlink"/>
    <w:basedOn w:val="DefaultParagraphFont"/>
    <w:uiPriority w:val="99"/>
    <w:unhideWhenUsed/>
    <w:qFormat/>
    <w:rsid w:val="00506431"/>
    <w:rPr>
      <w:rFonts w:asciiTheme="minorHAnsi" w:hAnsiTheme="minorHAnsi"/>
      <w:color w:val="auto"/>
      <w:u w:val="single" w:color="D11947"/>
    </w:rPr>
  </w:style>
  <w:style w:type="paragraph" w:styleId="TOCHeading">
    <w:name w:val="TOC Heading"/>
    <w:basedOn w:val="Heading2"/>
    <w:next w:val="Normal"/>
    <w:uiPriority w:val="39"/>
    <w:unhideWhenUsed/>
    <w:qFormat/>
    <w:rsid w:val="00FD25E6"/>
  </w:style>
  <w:style w:type="paragraph" w:styleId="TOC1">
    <w:name w:val="toc 1"/>
    <w:basedOn w:val="Normal"/>
    <w:next w:val="Normal"/>
    <w:autoRedefine/>
    <w:uiPriority w:val="39"/>
    <w:unhideWhenUsed/>
    <w:rsid w:val="00F24ED4"/>
    <w:pPr>
      <w:spacing w:after="100"/>
    </w:pPr>
  </w:style>
  <w:style w:type="paragraph" w:styleId="TOC2">
    <w:name w:val="toc 2"/>
    <w:basedOn w:val="Normal"/>
    <w:next w:val="Normal"/>
    <w:autoRedefine/>
    <w:uiPriority w:val="39"/>
    <w:unhideWhenUsed/>
    <w:rsid w:val="00F24ED4"/>
    <w:pPr>
      <w:spacing w:after="100"/>
      <w:ind w:left="200"/>
    </w:pPr>
  </w:style>
  <w:style w:type="paragraph" w:styleId="TOC3">
    <w:name w:val="toc 3"/>
    <w:basedOn w:val="Normal"/>
    <w:next w:val="Normal"/>
    <w:autoRedefine/>
    <w:uiPriority w:val="39"/>
    <w:unhideWhenUsed/>
    <w:rsid w:val="00F24ED4"/>
    <w:pPr>
      <w:spacing w:after="100"/>
      <w:ind w:left="400"/>
    </w:pPr>
  </w:style>
  <w:style w:type="table" w:styleId="TableGrid">
    <w:name w:val="Table Grid"/>
    <w:basedOn w:val="TableNormal"/>
    <w:uiPriority w:val="59"/>
    <w:rsid w:val="000F1A99"/>
    <w:pPr>
      <w:spacing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color w:val="FFFFFF" w:themeColor="background1"/>
      </w:rPr>
    </w:tblStylePr>
  </w:style>
  <w:style w:type="paragraph" w:styleId="Title">
    <w:name w:val="Title"/>
    <w:basedOn w:val="Normal"/>
    <w:next w:val="Normal"/>
    <w:link w:val="TitleChar"/>
    <w:uiPriority w:val="10"/>
    <w:qFormat/>
    <w:rsid w:val="00506431"/>
    <w:pPr>
      <w:spacing w:after="80"/>
      <w:contextualSpacing/>
    </w:pPr>
    <w:rPr>
      <w:rFonts w:asciiTheme="majorHAnsi" w:eastAsiaTheme="majorEastAsia" w:hAnsiTheme="majorHAnsi" w:cstheme="majorBidi"/>
      <w:color w:val="D11947"/>
      <w:spacing w:val="5"/>
      <w:kern w:val="28"/>
      <w:sz w:val="48"/>
      <w:szCs w:val="48"/>
    </w:rPr>
  </w:style>
  <w:style w:type="character" w:customStyle="1" w:styleId="TitleChar">
    <w:name w:val="Title Char"/>
    <w:basedOn w:val="DefaultParagraphFont"/>
    <w:link w:val="Title"/>
    <w:uiPriority w:val="10"/>
    <w:rsid w:val="00506431"/>
    <w:rPr>
      <w:rFonts w:asciiTheme="majorHAnsi" w:eastAsiaTheme="majorEastAsia" w:hAnsiTheme="majorHAnsi" w:cstheme="majorBidi"/>
      <w:color w:val="D11947"/>
      <w:spacing w:val="5"/>
      <w:kern w:val="28"/>
      <w:sz w:val="48"/>
      <w:szCs w:val="48"/>
    </w:rPr>
  </w:style>
  <w:style w:type="paragraph" w:styleId="Subtitle">
    <w:name w:val="Subtitle"/>
    <w:basedOn w:val="Normal"/>
    <w:next w:val="Normal"/>
    <w:link w:val="SubtitleChar"/>
    <w:uiPriority w:val="11"/>
    <w:qFormat/>
    <w:rsid w:val="00506431"/>
    <w:pPr>
      <w:numPr>
        <w:ilvl w:val="1"/>
      </w:numPr>
      <w:spacing w:after="320"/>
    </w:pPr>
    <w:rPr>
      <w:rFonts w:asciiTheme="majorHAnsi" w:eastAsiaTheme="majorEastAsia" w:hAnsiTheme="majorHAnsi" w:cstheme="majorBidi"/>
      <w:spacing w:val="15"/>
      <w:sz w:val="28"/>
      <w:szCs w:val="24"/>
    </w:rPr>
  </w:style>
  <w:style w:type="character" w:customStyle="1" w:styleId="SubtitleChar">
    <w:name w:val="Subtitle Char"/>
    <w:basedOn w:val="DefaultParagraphFont"/>
    <w:link w:val="Subtitle"/>
    <w:uiPriority w:val="11"/>
    <w:rsid w:val="00506431"/>
    <w:rPr>
      <w:rFonts w:asciiTheme="majorHAnsi" w:eastAsiaTheme="majorEastAsia" w:hAnsiTheme="majorHAnsi" w:cstheme="majorBidi"/>
      <w:spacing w:val="15"/>
      <w:sz w:val="28"/>
    </w:rPr>
  </w:style>
  <w:style w:type="character" w:styleId="FollowedHyperlink">
    <w:name w:val="FollowedHyperlink"/>
    <w:basedOn w:val="DefaultParagraphFont"/>
    <w:uiPriority w:val="99"/>
    <w:unhideWhenUsed/>
    <w:qFormat/>
    <w:rsid w:val="00506431"/>
    <w:rPr>
      <w:rFonts w:asciiTheme="minorHAnsi" w:hAnsiTheme="minorHAnsi"/>
      <w:color w:val="595959" w:themeColor="text1" w:themeTint="A6"/>
      <w:u w:val="single" w:color="D11947"/>
    </w:rPr>
  </w:style>
  <w:style w:type="paragraph" w:styleId="BalloonText">
    <w:name w:val="Balloon Text"/>
    <w:basedOn w:val="Normal"/>
    <w:link w:val="BalloonTextChar"/>
    <w:uiPriority w:val="99"/>
    <w:semiHidden/>
    <w:unhideWhenUsed/>
    <w:rsid w:val="005B5D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DC4"/>
    <w:rPr>
      <w:rFonts w:ascii="Lucida Grande" w:hAnsi="Lucida Grande" w:cs="Lucida Grande"/>
      <w:color w:val="000000" w:themeColor="text1"/>
      <w:sz w:val="18"/>
      <w:szCs w:val="18"/>
    </w:rPr>
  </w:style>
  <w:style w:type="character" w:styleId="PlaceholderText">
    <w:name w:val="Placeholder Text"/>
    <w:basedOn w:val="DefaultParagraphFont"/>
    <w:uiPriority w:val="99"/>
    <w:semiHidden/>
    <w:rsid w:val="00687FD0"/>
    <w:rPr>
      <w:color w:val="808080"/>
    </w:rPr>
  </w:style>
  <w:style w:type="paragraph" w:styleId="FootnoteText">
    <w:name w:val="footnote text"/>
    <w:basedOn w:val="Normal"/>
    <w:link w:val="FootnoteTextChar"/>
    <w:uiPriority w:val="99"/>
    <w:semiHidden/>
    <w:unhideWhenUsed/>
    <w:rsid w:val="00BF71FC"/>
    <w:pPr>
      <w:spacing w:after="0" w:line="240" w:lineRule="auto"/>
    </w:pPr>
    <w:rPr>
      <w:szCs w:val="20"/>
    </w:rPr>
  </w:style>
  <w:style w:type="character" w:customStyle="1" w:styleId="FootnoteTextChar">
    <w:name w:val="Footnote Text Char"/>
    <w:basedOn w:val="DefaultParagraphFont"/>
    <w:link w:val="FootnoteText"/>
    <w:uiPriority w:val="99"/>
    <w:semiHidden/>
    <w:rsid w:val="00BF71FC"/>
    <w:rPr>
      <w:rFonts w:eastAsiaTheme="minorHAnsi"/>
      <w:sz w:val="20"/>
      <w:szCs w:val="20"/>
      <w:lang w:val="en-AU"/>
    </w:rPr>
  </w:style>
  <w:style w:type="character" w:styleId="FootnoteReference">
    <w:name w:val="footnote reference"/>
    <w:basedOn w:val="DefaultParagraphFont"/>
    <w:uiPriority w:val="99"/>
    <w:semiHidden/>
    <w:unhideWhenUsed/>
    <w:rsid w:val="00BF71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21058">
      <w:bodyDiv w:val="1"/>
      <w:marLeft w:val="0"/>
      <w:marRight w:val="0"/>
      <w:marTop w:val="0"/>
      <w:marBottom w:val="0"/>
      <w:divBdr>
        <w:top w:val="none" w:sz="0" w:space="0" w:color="auto"/>
        <w:left w:val="none" w:sz="0" w:space="0" w:color="auto"/>
        <w:bottom w:val="none" w:sz="0" w:space="0" w:color="auto"/>
        <w:right w:val="none" w:sz="0" w:space="0" w:color="auto"/>
      </w:divBdr>
    </w:div>
    <w:div w:id="546646100">
      <w:bodyDiv w:val="1"/>
      <w:marLeft w:val="0"/>
      <w:marRight w:val="0"/>
      <w:marTop w:val="0"/>
      <w:marBottom w:val="0"/>
      <w:divBdr>
        <w:top w:val="none" w:sz="0" w:space="0" w:color="auto"/>
        <w:left w:val="none" w:sz="0" w:space="0" w:color="auto"/>
        <w:bottom w:val="none" w:sz="0" w:space="0" w:color="auto"/>
        <w:right w:val="none" w:sz="0" w:space="0" w:color="auto"/>
      </w:divBdr>
    </w:div>
    <w:div w:id="638613332">
      <w:bodyDiv w:val="1"/>
      <w:marLeft w:val="0"/>
      <w:marRight w:val="0"/>
      <w:marTop w:val="0"/>
      <w:marBottom w:val="0"/>
      <w:divBdr>
        <w:top w:val="none" w:sz="0" w:space="0" w:color="auto"/>
        <w:left w:val="none" w:sz="0" w:space="0" w:color="auto"/>
        <w:bottom w:val="none" w:sz="0" w:space="0" w:color="auto"/>
        <w:right w:val="none" w:sz="0" w:space="0" w:color="auto"/>
      </w:divBdr>
    </w:div>
    <w:div w:id="851070134">
      <w:bodyDiv w:val="1"/>
      <w:marLeft w:val="0"/>
      <w:marRight w:val="0"/>
      <w:marTop w:val="0"/>
      <w:marBottom w:val="0"/>
      <w:divBdr>
        <w:top w:val="none" w:sz="0" w:space="0" w:color="auto"/>
        <w:left w:val="none" w:sz="0" w:space="0" w:color="auto"/>
        <w:bottom w:val="none" w:sz="0" w:space="0" w:color="auto"/>
        <w:right w:val="none" w:sz="0" w:space="0" w:color="auto"/>
      </w:divBdr>
    </w:div>
    <w:div w:id="1014071148">
      <w:bodyDiv w:val="1"/>
      <w:marLeft w:val="0"/>
      <w:marRight w:val="0"/>
      <w:marTop w:val="0"/>
      <w:marBottom w:val="0"/>
      <w:divBdr>
        <w:top w:val="none" w:sz="0" w:space="0" w:color="auto"/>
        <w:left w:val="none" w:sz="0" w:space="0" w:color="auto"/>
        <w:bottom w:val="none" w:sz="0" w:space="0" w:color="auto"/>
        <w:right w:val="none" w:sz="0" w:space="0" w:color="auto"/>
      </w:divBdr>
    </w:div>
    <w:div w:id="1104231976">
      <w:bodyDiv w:val="1"/>
      <w:marLeft w:val="0"/>
      <w:marRight w:val="0"/>
      <w:marTop w:val="0"/>
      <w:marBottom w:val="0"/>
      <w:divBdr>
        <w:top w:val="none" w:sz="0" w:space="0" w:color="auto"/>
        <w:left w:val="none" w:sz="0" w:space="0" w:color="auto"/>
        <w:bottom w:val="none" w:sz="0" w:space="0" w:color="auto"/>
        <w:right w:val="none" w:sz="0" w:space="0" w:color="auto"/>
      </w:divBdr>
    </w:div>
    <w:div w:id="1233926475">
      <w:bodyDiv w:val="1"/>
      <w:marLeft w:val="0"/>
      <w:marRight w:val="0"/>
      <w:marTop w:val="0"/>
      <w:marBottom w:val="0"/>
      <w:divBdr>
        <w:top w:val="none" w:sz="0" w:space="0" w:color="auto"/>
        <w:left w:val="none" w:sz="0" w:space="0" w:color="auto"/>
        <w:bottom w:val="none" w:sz="0" w:space="0" w:color="auto"/>
        <w:right w:val="none" w:sz="0" w:space="0" w:color="auto"/>
      </w:divBdr>
    </w:div>
    <w:div w:id="2124305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a.org.au/awar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ards@alia.org.au" TargetMode="External"/><Relationship Id="rId4" Type="http://schemas.openxmlformats.org/officeDocument/2006/relationships/settings" Target="settings.xml"/><Relationship Id="rId9" Type="http://schemas.openxmlformats.org/officeDocument/2006/relationships/hyperlink" Target="mailto:awards@alia.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c.gov.au/applicants/researcher_earl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ign%20Resources\ALIA%20Brand\04%20-%20Letterhead\02%20-%20Final%20Art\Word%20Templates\ALIA%20Letterhead%20-%20External,%20multi-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A762-9F78-4DDF-9E16-9BF6609A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ALIA Letterhead - External, multi-page</Template>
  <TotalTime>14</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Library and Information Association</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hmoorby</dc:creator>
  <cp:lastModifiedBy>Lisa Lynch</cp:lastModifiedBy>
  <cp:revision>9</cp:revision>
  <dcterms:created xsi:type="dcterms:W3CDTF">2023-04-12T01:31:00Z</dcterms:created>
  <dcterms:modified xsi:type="dcterms:W3CDTF">2023-04-12T01:45:00Z</dcterms:modified>
</cp:coreProperties>
</file>